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8B" w:rsidRDefault="0004118B" w:rsidP="00ED520A">
      <w:pPr>
        <w:spacing w:line="276" w:lineRule="auto"/>
      </w:pPr>
      <w:r>
        <w:t>René Lew,</w:t>
      </w:r>
    </w:p>
    <w:p w:rsidR="0004118B" w:rsidRDefault="0004118B" w:rsidP="00ED520A">
      <w:pPr>
        <w:spacing w:line="276" w:lineRule="auto"/>
      </w:pPr>
      <w:r>
        <w:t>le 21 avril 2021,</w:t>
      </w:r>
    </w:p>
    <w:p w:rsidR="0004118B" w:rsidRDefault="0004118B" w:rsidP="00ED520A">
      <w:pPr>
        <w:spacing w:line="276" w:lineRule="auto"/>
      </w:pPr>
      <w:r>
        <w:t xml:space="preserve">pour le séminaire </w:t>
      </w:r>
    </w:p>
    <w:p w:rsidR="0004118B" w:rsidRDefault="00BD0DD0" w:rsidP="00ED520A">
      <w:pPr>
        <w:spacing w:line="276" w:lineRule="auto"/>
      </w:pPr>
      <w:r w:rsidRPr="00BD0DD0">
        <w:rPr>
          <w:rFonts w:ascii="Times New Roman" w:hAnsi="Times New Roman"/>
          <w:sz w:val="22"/>
          <w:szCs w:val="22"/>
          <w:lang w:val="nl-NL"/>
        </w:rPr>
      </w:r>
      <w:r w:rsidRPr="00BD0DD0">
        <w:rPr>
          <w:rFonts w:ascii="Times New Roman" w:hAnsi="Times New Roman"/>
          <w:sz w:val="22"/>
          <w:szCs w:val="22"/>
          <w:lang w:val="nl-NL"/>
        </w:rPr>
        <w:pict>
          <v:group id="_x0000_s1026" editas="canvas" style="width:258.65pt;height:76.5pt;mso-position-horizontal-relative:char;mso-position-vertical-relative:line" coordorigin="4699,9048" coordsize="5173,15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699;top:9048;width:5173;height:153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839;top:9706;width:2016;height:607" stroked="f">
              <v:textbox style="mso-next-textbox:#_x0000_s1028">
                <w:txbxContent>
                  <w:p w:rsidR="00DC0645" w:rsidRPr="00001317" w:rsidRDefault="00DC0645" w:rsidP="0004118B">
                    <w:pPr>
                      <w:jc w:val="center"/>
                      <w:rPr>
                        <w:szCs w:val="23"/>
                      </w:rPr>
                    </w:pPr>
                    <w:r w:rsidRPr="00001317">
                      <w:rPr>
                        <w:szCs w:val="23"/>
                      </w:rPr>
                      <w:t>pratique</w:t>
                    </w:r>
                  </w:p>
                </w:txbxContent>
              </v:textbox>
            </v:shape>
            <v:shape id="_x0000_s1029" type="#_x0000_t202" style="position:absolute;left:6102;top:9166;width:1451;height:623" stroked="f">
              <v:textbox style="mso-next-textbox:#_x0000_s1029">
                <w:txbxContent>
                  <w:p w:rsidR="00DC0645" w:rsidRPr="00001317" w:rsidRDefault="00DC0645" w:rsidP="0004118B">
                    <w:pPr>
                      <w:jc w:val="center"/>
                      <w:rPr>
                        <w:szCs w:val="23"/>
                      </w:rPr>
                    </w:pPr>
                    <w:r w:rsidRPr="00001317">
                      <w:rPr>
                        <w:szCs w:val="23"/>
                      </w:rPr>
                      <w:t>théorie</w:t>
                    </w:r>
                  </w:p>
                </w:txbxContent>
              </v:textbox>
            </v:shape>
            <v:shape id="_x0000_s1030" type="#_x0000_t202" style="position:absolute;left:4699;top:9347;width:1399;height:705" stroked="f">
              <v:textbox style="mso-next-textbox:#_x0000_s1030;mso-fit-shape-to-text:t">
                <w:txbxContent>
                  <w:p w:rsidR="00DC0645" w:rsidRPr="00001317" w:rsidRDefault="00DC0645" w:rsidP="0004118B">
                    <w:pPr>
                      <w:jc w:val="center"/>
                      <w:rPr>
                        <w:szCs w:val="23"/>
                      </w:rPr>
                    </w:pPr>
                    <w:r w:rsidRPr="00001317">
                      <w:rPr>
                        <w:szCs w:val="23"/>
                      </w:rPr>
                      <w:t>lettres</w:t>
                    </w:r>
                  </w:p>
                </w:txbxContent>
              </v:textbox>
            </v:shape>
            <v:line id="_x0000_s1031" style="position:absolute" from="6098,9712" to="7620,9713"/>
            <v:line id="_x0000_s1032" style="position:absolute" from="6094,9347" to="6095,10425"/>
            <v:shape id="_x0000_s1033" type="#_x0000_t202" style="position:absolute;left:7676;top:9334;width:1820;height:861" stroked="f">
              <v:textbox style="mso-next-textbox:#_x0000_s1033">
                <w:txbxContent>
                  <w:p w:rsidR="00DC0645" w:rsidRPr="00001317" w:rsidRDefault="00DC0645" w:rsidP="0004118B">
                    <w:pPr>
                      <w:rPr>
                        <w:szCs w:val="23"/>
                      </w:rPr>
                    </w:pPr>
                    <w:r w:rsidRPr="00001317">
                      <w:rPr>
                        <w:szCs w:val="23"/>
                      </w:rPr>
                      <w:t>jouissances</w:t>
                    </w:r>
                  </w:p>
                </w:txbxContent>
              </v:textbox>
            </v:shape>
            <v:line id="_x0000_s1034" style="position:absolute" from="7634,9334" to="7635,10412"/>
            <w10:wrap type="none"/>
            <w10:anchorlock/>
          </v:group>
        </w:pict>
      </w:r>
    </w:p>
    <w:p w:rsidR="0004118B" w:rsidRDefault="0004118B" w:rsidP="00ED520A">
      <w:pPr>
        <w:spacing w:line="276" w:lineRule="auto"/>
      </w:pPr>
    </w:p>
    <w:p w:rsidR="0004118B" w:rsidRDefault="0004118B" w:rsidP="00ED520A">
      <w:pPr>
        <w:spacing w:line="276" w:lineRule="auto"/>
      </w:pPr>
    </w:p>
    <w:p w:rsidR="0004118B" w:rsidRDefault="0004118B" w:rsidP="00ED520A">
      <w:pPr>
        <w:spacing w:line="276" w:lineRule="auto"/>
      </w:pPr>
    </w:p>
    <w:p w:rsidR="004C1BDB" w:rsidRDefault="0004118B" w:rsidP="00ED520A">
      <w:pPr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Ne pas construire le « cas »</w:t>
      </w:r>
    </w:p>
    <w:p w:rsidR="0004118B" w:rsidRDefault="0004118B" w:rsidP="00ED520A">
      <w:pPr>
        <w:spacing w:line="276" w:lineRule="auto"/>
      </w:pPr>
    </w:p>
    <w:p w:rsidR="00ED520A" w:rsidRDefault="00ED520A" w:rsidP="00ED520A">
      <w:pPr>
        <w:spacing w:line="276" w:lineRule="auto"/>
      </w:pPr>
    </w:p>
    <w:p w:rsidR="0004118B" w:rsidRDefault="0004118B" w:rsidP="00ED520A">
      <w:pPr>
        <w:spacing w:line="276" w:lineRule="auto"/>
        <w:ind w:firstLine="708"/>
      </w:pPr>
      <w:r>
        <w:t>Malgré l’intérêt maintenu de Lacan pour la « casuistique » (</w:t>
      </w:r>
      <w:r w:rsidRPr="0004118B">
        <w:rPr>
          <w:i/>
        </w:rPr>
        <w:t>Autres écrits</w:t>
      </w:r>
      <w:r>
        <w:t>, p. 231), aucun patient n’est réductible à un « cas ». Peut-être, étymologie à l’appui, que le « cas » (</w:t>
      </w:r>
      <w:r w:rsidRPr="0004118B">
        <w:rPr>
          <w:i/>
        </w:rPr>
        <w:t>casus</w:t>
      </w:r>
      <w:r>
        <w:t xml:space="preserve"> = tombé) rappelle la fin de la cure comme chute de l’objet </w:t>
      </w:r>
      <w:r w:rsidRPr="0004118B">
        <w:rPr>
          <w:i/>
        </w:rPr>
        <w:t>a</w:t>
      </w:r>
      <w:r>
        <w:t xml:space="preserve">. Auquel cas (!), c’est l’objet </w:t>
      </w:r>
      <w:r w:rsidRPr="0004118B">
        <w:rPr>
          <w:i/>
        </w:rPr>
        <w:t>a</w:t>
      </w:r>
      <w:r>
        <w:t xml:space="preserve"> lui-même qui fa</w:t>
      </w:r>
      <w:r w:rsidR="00ED520A">
        <w:t>i</w:t>
      </w:r>
      <w:r>
        <w:t xml:space="preserve">t cas. Mais dès lors cela pose la question de ce qui se généralise sous la forme de ce concept d’objet </w:t>
      </w:r>
      <w:r w:rsidRPr="0004118B">
        <w:rPr>
          <w:i/>
        </w:rPr>
        <w:t>a</w:t>
      </w:r>
      <w:r>
        <w:t xml:space="preserve">, contrepartie fantasmatique (opérant dans l’identité et la différence) du sujet subjectif (non subjectal) — et, dans cette contrepartie, l’objet </w:t>
      </w:r>
      <w:r w:rsidRPr="0004118B">
        <w:rPr>
          <w:i/>
        </w:rPr>
        <w:t>a</w:t>
      </w:r>
      <w:r>
        <w:t xml:space="preserve"> correspond à élever la particularité de ce sujet-là précisément à la généralité d’une référence que cet objet constitue, référence pouvant être collective (sinon commune</w:t>
      </w:r>
      <w:r w:rsidR="00ED520A">
        <w:t xml:space="preserve"> comme elle l’est dans le groupe</w:t>
      </w:r>
      <w:r>
        <w:t>).</w:t>
      </w:r>
    </w:p>
    <w:p w:rsidR="0004118B" w:rsidRDefault="0004118B" w:rsidP="00ED520A">
      <w:pPr>
        <w:spacing w:line="276" w:lineRule="auto"/>
        <w:ind w:firstLine="708"/>
      </w:pPr>
      <w:r>
        <w:t>Il ne s’agit donc pas d’exemplifier par un « cas » ce qu</w:t>
      </w:r>
      <w:r w:rsidR="00ED520A">
        <w:t xml:space="preserve">i </w:t>
      </w:r>
      <w:r>
        <w:t>est donné médicalement, psychiatriquement, comme une « entité morbide ». La pratique psychanalytique nécessite, et même oblige (</w:t>
      </w:r>
      <w:r w:rsidRPr="0004118B">
        <w:rPr>
          <w:i/>
        </w:rPr>
        <w:t>sollen</w:t>
      </w:r>
      <w:r>
        <w:t>) à ne prendre aucune situation de discours et en aucun cas (!) comme reproductible. La voie subjective du discours en devient essentielle.</w:t>
      </w:r>
      <w:r w:rsidR="00ED520A">
        <w:t xml:space="preserve"> Car le sujet se fonde du signifiant qui n’est en rien reproductible lui-même.</w:t>
      </w:r>
    </w:p>
    <w:p w:rsidR="0004118B" w:rsidRDefault="0004118B" w:rsidP="00ED520A">
      <w:pPr>
        <w:spacing w:line="276" w:lineRule="auto"/>
        <w:ind w:firstLine="708"/>
      </w:pPr>
      <w:r>
        <w:t xml:space="preserve">Faire </w:t>
      </w:r>
      <w:r w:rsidRPr="0004118B">
        <w:rPr>
          <w:i/>
        </w:rPr>
        <w:t>cas</w:t>
      </w:r>
      <w:r>
        <w:t xml:space="preserve"> d’un analysant, c’est lui refuser la particularité</w:t>
      </w:r>
      <w:r w:rsidR="00DC0645">
        <w:t xml:space="preserve"> de son lien (paradoxalement des plus partagés) au singulier de toute fonction en intension, dont la fonction Père, la fonction de la castration, la fonction modale du « devoir advenir » (… </w:t>
      </w:r>
      <w:r w:rsidR="00DC0645" w:rsidRPr="00DC0645">
        <w:rPr>
          <w:i/>
        </w:rPr>
        <w:t>soll Ich werden</w:t>
      </w:r>
      <w:r w:rsidR="00DC0645">
        <w:t>) en sujet.</w:t>
      </w:r>
    </w:p>
    <w:p w:rsidR="00DC0645" w:rsidRDefault="00DC0645" w:rsidP="00ED520A">
      <w:pPr>
        <w:spacing w:line="276" w:lineRule="auto"/>
        <w:ind w:firstLine="708"/>
      </w:pPr>
      <w:r>
        <w:t>Refuser de faire cas, c’est assurer du sujet, dans le lien du subjectif local au subjectal global. Autrement dit, cela revient à fonder l’acte d’admettre que le sujet « bouge », mobilisation et dynamique associées, sans jamais ressembler à l’image qu’on en donne dans la généralité de ces concepts. Cependant, interpréter va dans le sens de dépasser cette particularité vers ce que le collectif reconnaît de « partage » de cette particularité entre plusieurs, sinon collectivement (sans restriction de nombre).</w:t>
      </w:r>
    </w:p>
    <w:p w:rsidR="00DC0645" w:rsidRDefault="00DC0645" w:rsidP="00ED520A">
      <w:pPr>
        <w:spacing w:line="276" w:lineRule="auto"/>
        <w:ind w:firstLine="708"/>
      </w:pPr>
      <w:r>
        <w:t>Le symptôme — soit : ce qui « choit avec… » — entraîne la reconnaissance de ce qu’il implique de représentation, soit même de donner à voir ou à entendre, etc.</w:t>
      </w:r>
      <w:r w:rsidR="00ED520A">
        <w:t xml:space="preserve"> D’ailleurs le symptôme ne se prolonge que tant que l’objet </w:t>
      </w:r>
      <w:r w:rsidR="00ED520A" w:rsidRPr="00ED520A">
        <w:rPr>
          <w:i/>
        </w:rPr>
        <w:t>a</w:t>
      </w:r>
      <w:r w:rsidR="00ED520A">
        <w:t xml:space="preserve"> ne choit pas lui-même.</w:t>
      </w:r>
    </w:p>
    <w:p w:rsidR="00DC0645" w:rsidRDefault="00DC0645" w:rsidP="00ED520A">
      <w:pPr>
        <w:spacing w:line="276" w:lineRule="auto"/>
        <w:ind w:firstLine="708"/>
      </w:pPr>
      <w:r>
        <w:tab/>
        <w:t xml:space="preserve">Parallèlement aucun symptôme d’aucun sujet n’a d’autre valeur que de rendre accessible ce que les signifiants ont de variable à s’évanouir chacun dans la production de son successeur dans la chaîne signifiante (pour se limiter à cette unique dimension). « Dans le réel » aucun cas ne tient comme tel, et seule compte la récursivité — celle-ci éminemment partagée </w:t>
      </w:r>
      <w:r>
        <w:lastRenderedPageBreak/>
        <w:t>dans la confection des signifiants, malgré la singularité inaccessible et non reproductible de tout signifiant</w:t>
      </w:r>
      <w:r w:rsidR="00ED520A">
        <w:t xml:space="preserve"> —</w:t>
      </w:r>
      <w:r>
        <w:t>, la récursivité des fonctions signifiantes, des positions subjectives, et de leur contrepartie (pour le sujet) qu’est l’objet (</w:t>
      </w:r>
      <w:r w:rsidRPr="00DC0645">
        <w:rPr>
          <w:i/>
        </w:rPr>
        <w:t>a</w:t>
      </w:r>
      <w:r>
        <w:t>).</w:t>
      </w:r>
    </w:p>
    <w:p w:rsidR="00DC0645" w:rsidRDefault="00DC0645" w:rsidP="00ED520A">
      <w:pPr>
        <w:spacing w:line="276" w:lineRule="auto"/>
        <w:ind w:firstLine="708"/>
      </w:pPr>
      <w:r>
        <w:t>Même la passe ne saurait élever le cas au collectif de ce que le linguiste conçoit du langage</w:t>
      </w:r>
      <w:r w:rsidR="002D4517">
        <w:t>.</w:t>
      </w:r>
    </w:p>
    <w:sectPr w:rsidR="00DC0645" w:rsidSect="004C1B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A79" w:rsidRDefault="005C5A79" w:rsidP="00DC0645">
      <w:pPr>
        <w:spacing w:line="240" w:lineRule="auto"/>
      </w:pPr>
      <w:r>
        <w:separator/>
      </w:r>
    </w:p>
  </w:endnote>
  <w:endnote w:type="continuationSeparator" w:id="0">
    <w:p w:rsidR="005C5A79" w:rsidRDefault="005C5A79" w:rsidP="00DC0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333204"/>
      <w:docPartObj>
        <w:docPartGallery w:val="Page Numbers (Bottom of Page)"/>
        <w:docPartUnique/>
      </w:docPartObj>
    </w:sdtPr>
    <w:sdtContent>
      <w:p w:rsidR="00DC0645" w:rsidRDefault="00BD0DD0">
        <w:pPr>
          <w:pStyle w:val="Pieddepage"/>
          <w:jc w:val="right"/>
        </w:pPr>
        <w:fldSimple w:instr=" PAGE   \* MERGEFORMAT ">
          <w:r w:rsidR="005C5A79">
            <w:rPr>
              <w:noProof/>
            </w:rPr>
            <w:t>1</w:t>
          </w:r>
        </w:fldSimple>
      </w:p>
    </w:sdtContent>
  </w:sdt>
  <w:p w:rsidR="00DC0645" w:rsidRDefault="00DC064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A79" w:rsidRDefault="005C5A79" w:rsidP="00DC0645">
      <w:pPr>
        <w:spacing w:line="240" w:lineRule="auto"/>
      </w:pPr>
      <w:r>
        <w:separator/>
      </w:r>
    </w:p>
  </w:footnote>
  <w:footnote w:type="continuationSeparator" w:id="0">
    <w:p w:rsidR="005C5A79" w:rsidRDefault="005C5A79" w:rsidP="00DC06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4118B"/>
    <w:rsid w:val="0004118B"/>
    <w:rsid w:val="000A0F4A"/>
    <w:rsid w:val="000C6030"/>
    <w:rsid w:val="002D4517"/>
    <w:rsid w:val="003225DA"/>
    <w:rsid w:val="003266DB"/>
    <w:rsid w:val="00412FF8"/>
    <w:rsid w:val="004B73C5"/>
    <w:rsid w:val="004C1BDB"/>
    <w:rsid w:val="00513FE6"/>
    <w:rsid w:val="005C5A79"/>
    <w:rsid w:val="00601357"/>
    <w:rsid w:val="00643C1A"/>
    <w:rsid w:val="0064556B"/>
    <w:rsid w:val="007138C1"/>
    <w:rsid w:val="00715E0A"/>
    <w:rsid w:val="00724753"/>
    <w:rsid w:val="008E7ECE"/>
    <w:rsid w:val="009256CB"/>
    <w:rsid w:val="00942093"/>
    <w:rsid w:val="00996438"/>
    <w:rsid w:val="00AD566A"/>
    <w:rsid w:val="00AE7A16"/>
    <w:rsid w:val="00B81586"/>
    <w:rsid w:val="00B920E1"/>
    <w:rsid w:val="00BD0DD0"/>
    <w:rsid w:val="00C71C9A"/>
    <w:rsid w:val="00DC0645"/>
    <w:rsid w:val="00E63CCD"/>
    <w:rsid w:val="00ED520A"/>
    <w:rsid w:val="00EF2DEB"/>
    <w:rsid w:val="00F10F3F"/>
    <w:rsid w:val="00F4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Calibri" w:hAnsi="Garamond" w:cs="Times New Roman"/>
        <w:sz w:val="23"/>
        <w:lang w:val="fr-F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C064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0645"/>
  </w:style>
  <w:style w:type="paragraph" w:styleId="Pieddepage">
    <w:name w:val="footer"/>
    <w:basedOn w:val="Normal"/>
    <w:link w:val="PieddepageCar"/>
    <w:uiPriority w:val="99"/>
    <w:unhideWhenUsed/>
    <w:rsid w:val="00DC064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Lew</dc:creator>
  <cp:lastModifiedBy>René Lew</cp:lastModifiedBy>
  <cp:revision>2</cp:revision>
  <dcterms:created xsi:type="dcterms:W3CDTF">2021-05-03T13:44:00Z</dcterms:created>
  <dcterms:modified xsi:type="dcterms:W3CDTF">2021-05-05T07:08:00Z</dcterms:modified>
</cp:coreProperties>
</file>